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En la Ciudad de Oaxaca de Ju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rez, Oaxaca, del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06 de enero de 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o dos mil veinte, se re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nen los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ores ALAN REN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SANTOS BARRITA y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MIGUEL ANGEL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para constituir la sociedad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AGENCIA DE ENERG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DEL PACIFICO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, S.A. DE C.V.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, bajo los siguientes:</w:t>
      </w:r>
    </w:p>
    <w:p>
      <w:pPr>
        <w:pStyle w:val="Cuerpo"/>
        <w:spacing w:after="0" w:line="360" w:lineRule="auto"/>
        <w:jc w:val="center"/>
        <w:rPr>
          <w:rStyle w:val="Ninguno"/>
          <w:rFonts w:ascii="Arial Nova" w:cs="Arial Nova" w:hAnsi="Arial Nova" w:eastAsia="Arial Nova"/>
          <w:b w:val="1"/>
          <w:bCs w:val="1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b w:val="1"/>
          <w:bCs w:val="1"/>
          <w:sz w:val="24"/>
          <w:szCs w:val="24"/>
          <w:rtl w:val="0"/>
          <w:lang w:val="es-ES_tradnl"/>
        </w:rPr>
        <w:t>ESTATUTOS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PRIMERO.- La denominaci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la sociedad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la de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AGENCIA DE ENERG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DEL PACIFICO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, y se usar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seguida de las palabras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SOCIEDAD AN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NIMA DE CAPITAL VARIABLE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o de su abreviatura S.A. DE C.V.---------------------------------------------------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SEGUNDO.- El objeto de la sociedad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 siguiente:----------------------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1.- La compra, venta, importaci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y exportaci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equipos para generar energ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solar como paneles solares, inversores, microinversores, calentadores solares, bater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as, y accesorios para su instalaci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n.---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2.- Proporcionar toda clase de asesor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cnica y la asesor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relacionada con el desarrollo y mantenimiento de paneles solares, inversores, microinversores, calentadores solares, bater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as y accesorios.-----------------------------------------------------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3.- La prestaci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servicios de ingenier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solar, construcci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obras 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blicas y privadas, proyectos, mantenimiento, transporte, estudios, supervisi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limpieza, investigaci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dise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o, fabricaci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y almacenaje de maquinaria y equipo para la generaci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energ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solar.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4.- Ejecutar toda clase de actos de comercio, pudiendo comprar y vender, importar y exportar toda clase de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culos y mercanc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as relacionadas con la industria, comercio y cualquier acto ligado con el objeto social, de manera enunciativa mas no limitativa.--------------------------------------------------------------------------------------------------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5.- Contratar activa o pasivamente toda clase de prestacion de servicios, celebrar contratos y convenios, asi como adquirir o por cualquier otro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 poseer y explotar patentes, franquicias, marcas, industriales, nombres comerciales, opciones y preferencias, derechos de propiedad literaria, industrial, transferencia de tecnolog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a,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stica o concesiones de cualquier autoridad.-------------------------------------------------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6.- Promover, constituir, organizar, explotar y tomar participaci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en el capital y patrimonio de todo 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nero de sociedades mercantiles, civiles, asociaciones o empresas industriales, de servicios o de cualquier otra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ndole, tanto nacionales como extranjeras, as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como participar en su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ò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liquidaci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y disoluci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n.-------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7.- Emitir, girar, endosar, aceptar, avalar, descontar y suscribir toda clase de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de cr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dito, aquellos a los que se refiere 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quinto de la Ley General de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y Operaciones de Cr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dito.----------------------------------------------------------------------------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8.- La adquisicion o arrendamiento de maquinaruia y equipo, muebles e inmuebles para llevar a cabo s objeto social.------------------------------------------------------------------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9.- Adquirir o por cualquier medio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poseer explotare toda clase de bienes muebles, derechos reales y personales,as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í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como los inmuebles y muebles que sean necesarios para su objeto, pudiendo celebrar cualquier tipo de contrato de arrendamiento.------------------------------------------------------------------------------------------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10.- contratar al personal necesario para el cumplimiento de fines sociales, y delegar en una o varias personas el cumplimiento de mandatos, comisiones, servicios y dem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s actividades propias de su objeto. 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11.- constituir garant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as ya sean hipotecarias, prendarias, fianzas o de cualquier otro tipo, a favor de personas f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sicas o Morales, as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í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como constituirse en obligado solidario o aval garantizando cr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ditos a favor de la sociedad o en favor de terceros.-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12.- En general la realizaci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y celebraci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toda clase de actos, operaciones, contratos y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ya sean civiles, mercantiles, y de cr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dito.--------------------------------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13.-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En general la celebraci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n de toda clase de actos, y contratos que le sean anexos, con nexos o incidentales.------------------------------------------------------------------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14.- celebrar todo tipo de contratos, 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los de cr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dito de habilitaci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o refaccionario, constituir prenda o hipoteca en bienes de la sociedad y otorgar, aceptar y suscribir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de cr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dito, de conformidad con 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noveno de la Ley General de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y Operaciones de Cr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dito.---------------------------------------------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TERCERO.- Del domicilio:-------------------------------------------------------------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Su Domicilio social estar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ubicado en la ciudad de Oaxaca de Ju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rez, Oaxaca sin perjuicio de que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establecer agencias, corresponsal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as, representaciones, sucursales o establecimientos, dentro y fuera de la Rep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blica Mexicana, as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í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como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alar domicilios convencionales para la ejecuci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determinados actos y contratos dentro y fuera de la Rep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blica Mexicana.-------------------------------------------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CUARTO.- Duraci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n:-------------------------------------------------------------------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 duraci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la sociedad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del 99 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os, que comenzar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a contarse desde la fecha de firma y autorizaci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n de la presente escritura constitutiva. 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QUINTO.- Nacionalidad:--------------------------------------------------------------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Con fundamento en lo dispuesto por 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30 del reglamento de la ley para promover la inversi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mexicana y regular la inversi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n extranjera, se establece: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“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ninguna persona extranjera f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sica o moral,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tener participaci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social alguna en la sociedad; si por alg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motivo, algunas de las personas mencionadas anteriormente por cualquier evento llegare a adquirir una participaci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social; contraviniendo as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í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lo establecido en el 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rrafo que antecede, se conviene desde ahora en que dicha adquisici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n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nula y, por lo tanto, cancelada y sin ning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valor la participaci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social de que se trate y los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que las representen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”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.----------------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SEXTO.- Capital Social y acciones:-------------------------------------------------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importe del capital social es variable, pero el capital inicial, fijo y 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nimo sin derecho a retiro, es la cantidad de $50,000 (CINCUENTA MIL PESOS CERO CENTAVOS MONEDA NACIONAL).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ntegramente suscrito y pagado por los accionistas, dividido en 50 acciones, comunes, liberados y nominativas, las cual es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n representadas por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tulos de la Serie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“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”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con valor de $1,000.00 (MIL PESOS CERO CENTAVOS MONEDA NACIONAL), cada una-----------------------------------------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capital inicial, fijo y 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nimo queda cubierto en la proporci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siguiente:---------------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1.- El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de-DE"/>
        </w:rPr>
        <w:t>or ALAN REN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 xml:space="preserve">É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SANTOS BARRITA, le corresponder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n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40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 acciones, con valor nominal de $1,000.00 (MIL PESOS CERO 00/100 M.N.) Cada una haciendo una aportaci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en efectivo de $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40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,000.00 (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CUARENTA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MIL PESOS 00/100 M.N)-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2. La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 xml:space="preserve">orita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MIGUEL ANGEL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 xml:space="preserve"> le corresponder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n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40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 acciones, con valor nominal de $1,000.00 (MIL PESOS CERO 00/100 M.N.) Cada una haciendo una aportaci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en efectivo de $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40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,000.00 (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CUARENTA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 xml:space="preserve"> MIL PESOS 00/100 M.N)----------------------------------------------------------------------------------------------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capital social variable estar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representado por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de la serie B, en su 1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ª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emisi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en las subsecuentes se distinguir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unas de otras por el 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mero ordinal que les corresponda. ----------------------------------------------------------------------------------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capital social alcanzar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un 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ximo ilimitado, y dentro del mar en que resulta comparar con el 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nimo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alado en 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secto,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aumentarse o disminuirse dentro de las formalidades establecidas en el cap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 VII Seccion Sexta De la Ley General de Sociedades Mercantiles.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PTIMO.- Acciones:------------------------------------------------------------------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Las acciones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n representadas por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nominativos, mismos que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ser expedidos dentro de un plazo que no exceder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de un 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o, a partir de la fecha De esta escritura, Entretanto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expedirse certificados provisionales que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siempre nominativos y que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canjearse por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en su oportunidad. llevar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la firma aut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grafa del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o el presidente y secretario del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el aumento o disminuci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n del capital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acordado por la Asamblea General extraordinaria de accionistas, con el qu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rum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alado en la escritura; la disminuci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n 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lo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acordarse cuando sea aprobado previamente el balance en el que conste que el pasivo de la sociedad no se exceda del treinta por ciento del capital social.-------------------------------------------------------------------------------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capital social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ser aumentado o disminuido por acuerdo de la Asamblea General extraordinaria dentro de los l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mites establecidos y en los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rminos de la Ley General de sociedades mercantiles.---------------------------------------------------------------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OCTAVO.- Derechos de preferencia:----------------------------------------------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En el caso de aumento de capital social, los tenedores de las acciones tendr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derechos preferentes en proporci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igual al 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mero de sus acciones para suscribir Las nuevas que hayan de ser emitidas; siempre que sean pagadas en efectivo en el plazo establecido por la Asamblea General de accionistas, en el caso de que alg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n determinado 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mero de acciones quedar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sin pagarse las dem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 acciones tendr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derecho a comprarlas y si quedara alg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remanente se invitar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a nuevos socios adquirirlas, en caso de reducci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capital, este efecto har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proporcionalmente sobre el valor de todas las acciones. 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NOVENO.- Contenido y formalidad de las acciones:---------------------------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Los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de las acciones contendr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las menciones a qu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se refiere 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125 de la Ley General de Sociedades Mercantiles y 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ptimo de esta escritura;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n firmadas por 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o el presidente y secretario del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n y el comisario. 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CIMO.- Transmisi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las acciones:------------------------------------------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Toda transmisi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acciones, salvo por causa de muerte, se requerir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siempre la autorizaci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la Asamblea General ordinaria, ya que la sociedad 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lo reconocer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como tenedor de las acciones, a las personas que aparezcan registradas en el propio libro. -------------------------------------------------------------------------------------------------------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CIMO PRIMERO.- Venta de las acciones:-------------------------------------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Los socios que acuerden que cuando uno de ellos decida vender sus acciones,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è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stas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à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vendidas a cualquier persona, siempre y cuando se autorice por la Asamblea General. --------------------------------------------------------------------------------------------------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CIMO SEGUNDO.-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ò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la sociedad:-------------------------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Gobierno de la sociedad radica fundamentalmente en la Asamblea General de accionistas, la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ella, estar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encomendada a juicio de la asamblea, a un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O un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compuesto por 4 miembros que tendr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el car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cter en el orden de su elecci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presidente, secretario, tesorero y comisario.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CIMO TERCERO.- Nombramiento de la administrador o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n:------------------------------------------------------------------------------------------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o los miembros del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n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nombrados por la Asamblea General de accionistas, por mayor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de votos, y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nombrarse al mismo tiempo, uno o 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s vocales suplentes para que sustituyan a los propietarios en sus faltas temporales.-------------------------------------------------------------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CIMO CUARTO.- Formalidades en el nombramiento del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o miembros del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n:---------------------------------------------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En la elecci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n del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o miembros del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los accionistas que esten en minor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a, pero que representen por lo menos el veinticinco por ciento del capital social, tendram derecho a nombrar uno de los miembros propietarios y un suplente, en su caso, del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y este nombramiento no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ser anulado o revocado, sino cuando fuere hecho por la mayor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a.------------------------------------------------------------------------------------------------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CIMO QUINTO.- Tiempo en el que durar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n en el cargo 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o los miembros del Consejo de Administracion:---------------------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nicio o los miembros del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n. En su caso, para formar 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durar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en su cargo de manera permanente a partir de que la Asamblea General lo haya designado; sin necesidad de ratificaci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a menos que de acuerdo a los estatutos fuese designado otro en su lugar;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caucionar su manejo mediante el dep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sito en ejercicio por una cantidad igual al valor nominal de una accion, entre tanto nose hagan nuevas designaciones de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o Consejeros y uno u otros tomen posesi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sus cargos, los anteriores continuar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en sus puestos. 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CIMO SEXTO.- Facultades del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o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n:------------------------------------------------------------------------------------------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En consecuencia, 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tienen las atribuciones que en seguidas enumera, simplemente como enunciativa y no limitativa: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Llevar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 realizaci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todos los objetos sociales de la presente sociedad.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Celebrar, modificar, renovar y rescindir los contratos y ejecutar los actos relacionados con los objetos de la sociedad.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comprar y vender los bienes muebles e inmuebles propiedad de la sociedad.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hacer pr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stamos, 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habilitaci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o refaccionario, constituir prenda o hipoteca en bienes de la sociedad y otorgar, aceptar y suscribir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de cr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dito, de conformidad con 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culo 9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º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de la Ley General de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y Operaciones de Cr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dito.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Ejecutar los acuerdos de la Asamblea General de accionistas, sin perjuicio del derecho que est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tiene para nombrar en casos especiales, ejecutores de sus determinaciones a cualquier otro funcionario o particular.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Acordar los gastos y presupuestos de la sociedad.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renunciar a cualquier derecho real o personal de la sociedad, as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í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como su domicilio y jurisdicci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cuando convenga a los intereses de la misma.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nombrar y remover libremente al gerente o gerentes YA los ejecutores especiales, determinar sus facultades, vigilar su gesti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y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alar la remuneraci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que deben percibir.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nombrar apoderados generales o especiales y revocar esos nombramientos.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delegar sus facultades en uno o varios consejeros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al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ndolos sus atribuciones.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convocar a las asambleas generales ordinarias y las extraordinarias y fungir en ellos como mesa directiva.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CIMO 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PTIMO.- Nombramiento de los apoderados legales y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nico:-----------------------------------------------------------------------------------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directa de la sociedad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estar a cargo de un apoderado legal, qui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por el solo hecho de su nombramiento, tendr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las facultades mentales y aplicaciones de un apoderado general de la sociedad, 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para aquellos que de acuerdo con la ley requieran cl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usula especial, conforme a los dos primeros 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rrafos de los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culos 2435 del C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digo Civil para el Estado de Oaxaca. 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Por lo tanto y en relaci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a este.se le otorgan las siguientes facultades a el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de-DE"/>
        </w:rPr>
        <w:t>or Alan Ren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 xml:space="preserve">Santos Barrita como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De dicha sociedad quien a su vez fungir como apoderado legal.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de-DE"/>
        </w:rPr>
      </w:pPr>
      <w:r>
        <w:rPr>
          <w:rStyle w:val="Ninguno"/>
          <w:rFonts w:ascii="Arial Nova" w:cs="Arial Nova" w:hAnsi="Arial Nova" w:eastAsia="Arial Nova"/>
          <w:b w:val="1"/>
          <w:bCs w:val="1"/>
          <w:sz w:val="24"/>
          <w:szCs w:val="24"/>
          <w:rtl w:val="0"/>
          <w:lang w:val="de-DE"/>
        </w:rPr>
        <w:t>PODER GENERAL PARA PLEITOS Y COBRANZAS.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 con todas las facultades generales y 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con las especiales que de acuerdo con la ley requieren poder y cl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usula especial, en los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rminos del primer 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rrafo dell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2435 Del C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digo Civil para el estado de Oaxaca, por lo que tendr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entre otras facultades las siguientes: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para intentar o desistirse de toda clase de procedimientos inclusive amparo.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para transigir.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para comprometer en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rbitros.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para absolver y articular posiciones.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para recusar.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para hacer sesi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bienes.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para recibir pagos.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para presentar denuncias y querellas en materia penal y para desistirse de ellas cuando lo permita la ley.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de-DE"/>
        </w:rPr>
      </w:pPr>
      <w:r>
        <w:rPr>
          <w:rStyle w:val="Ninguno"/>
          <w:rFonts w:ascii="Arial Nova" w:cs="Arial Nova" w:hAnsi="Arial Nova" w:eastAsia="Arial Nova"/>
          <w:b w:val="1"/>
          <w:bCs w:val="1"/>
          <w:sz w:val="24"/>
          <w:szCs w:val="24"/>
          <w:rtl w:val="0"/>
          <w:lang w:val="de-DE"/>
        </w:rPr>
        <w:t>PODER GENERAL PARA ACTOS DE ADMINISTRACI</w:t>
      </w:r>
      <w:r>
        <w:rPr>
          <w:rStyle w:val="Ninguno"/>
          <w:rFonts w:ascii="Arial Nova" w:cs="Arial Nova" w:hAnsi="Arial Nova" w:eastAsia="Arial Nova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Arial Nova" w:cs="Arial Nova" w:hAnsi="Arial Nova" w:eastAsia="Arial Nova"/>
          <w:b w:val="1"/>
          <w:bCs w:val="1"/>
          <w:sz w:val="24"/>
          <w:szCs w:val="24"/>
          <w:rtl w:val="0"/>
        </w:rPr>
        <w:t>N: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 de acuerdo con el 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rrafo 2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º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del mismo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2435 del C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digo Civil para el estado de Oaxaca.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de-DE"/>
        </w:rPr>
      </w:pPr>
      <w:r>
        <w:rPr>
          <w:rStyle w:val="Ninguno"/>
          <w:rFonts w:ascii="Arial Nova" w:cs="Arial Nova" w:hAnsi="Arial Nova" w:eastAsia="Arial Nova"/>
          <w:b w:val="1"/>
          <w:bCs w:val="1"/>
          <w:sz w:val="24"/>
          <w:szCs w:val="24"/>
          <w:rtl w:val="0"/>
          <w:lang w:val="de-DE"/>
        </w:rPr>
        <w:t>PODER GENERAL PARA ACTOS DE DOMINIO: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 de acuerdo con el 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rrafo 3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º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del mismo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2435 del C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digo Civil para el estado de Oaxaca.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b w:val="1"/>
          <w:bCs w:val="1"/>
          <w:sz w:val="24"/>
          <w:szCs w:val="24"/>
          <w:rtl w:val="0"/>
          <w:lang w:val="es-ES_tradnl"/>
        </w:rPr>
        <w:t>PODER PARA OTORGAR Y SUSCRIBIR T</w:t>
      </w:r>
      <w:r>
        <w:rPr>
          <w:rStyle w:val="Ninguno"/>
          <w:rFonts w:ascii="Arial Nova" w:cs="Arial Nova" w:hAnsi="Arial Nova" w:eastAsia="Arial Nova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b w:val="1"/>
          <w:bCs w:val="1"/>
          <w:sz w:val="24"/>
          <w:szCs w:val="24"/>
          <w:rtl w:val="0"/>
          <w:lang w:val="es-ES_tradnl"/>
        </w:rPr>
        <w:t>TULOS DE CR</w:t>
      </w:r>
      <w:r>
        <w:rPr>
          <w:rStyle w:val="Ninguno"/>
          <w:rFonts w:ascii="Arial Nova" w:cs="Arial Nova" w:hAnsi="Arial Nova" w:eastAsia="Arial Nov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b w:val="1"/>
          <w:bCs w:val="1"/>
          <w:sz w:val="24"/>
          <w:szCs w:val="24"/>
          <w:rtl w:val="0"/>
        </w:rPr>
        <w:t>DITO.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 en los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rminos del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culo 9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º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de la Ley General de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y operaciones de cr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dito.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de-DE"/>
        </w:rPr>
      </w:pPr>
      <w:r>
        <w:rPr>
          <w:rStyle w:val="Ninguno"/>
          <w:rFonts w:ascii="Arial Nova" w:cs="Arial Nova" w:hAnsi="Arial Nova" w:eastAsia="Arial Nova"/>
          <w:b w:val="1"/>
          <w:bCs w:val="1"/>
          <w:sz w:val="24"/>
          <w:szCs w:val="24"/>
          <w:rtl w:val="0"/>
          <w:lang w:val="de-DE"/>
        </w:rPr>
        <w:t>PARA DELEGAR SUS FACULTADES: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 en uno o varios asociados para que act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en conjuntamente o individualmente.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Para otorgar poderes generales o especiales y para revocar unos y otros.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poder en materia laboral: con facultades expresas para articular y absolver posiciones, de acuerdo con lo dispuesto en 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786 de la Ley Federal del trabajo, con facultad para administrar las relaciones laborales y con filial de acuerdo con los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culos 11 y 876, fracciones primera y sexta de la citada ley as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í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como comparecer en juicio en los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rminos de las fracciones primera, segunda y tercera del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92 y 878 de la citada ley.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Tener la Facultad de acudir ante el servicio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Tributaria, para solicitar, tramitar y obtener la firma electr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nica avanzada (e.firma)--------------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Las anteriores facultades que confieren bajo la aprobaci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la asamblea aclarando que as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í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como se le confiri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, a su vez se pueden limitar.</w:t>
      </w:r>
    </w:p>
    <w:p>
      <w:pPr>
        <w:pStyle w:val="List Paragraph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Administrar los bienes y negocios de la sociedad y por lo mismo hacer cobros y efectuar pagos.</w:t>
      </w:r>
    </w:p>
    <w:p>
      <w:pPr>
        <w:pStyle w:val="List Paragraph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celebrar los contratos y convenios, firmar la correspondencia y toda clase de documentos, emitir, aceptar y suscribir toda clase de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de cr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dito en los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rminos del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culo 9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º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de la Ley General de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y operaciones de cr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dito, ejecutar todos aquellos actos que requieran la marcha normal y eficiencia de la sociedad.</w:t>
      </w:r>
    </w:p>
    <w:p>
      <w:pPr>
        <w:pStyle w:val="List Paragraph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dentro de sus facultades otorgar poderes generales o especiales, as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í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como revocar los mismos.</w:t>
      </w:r>
    </w:p>
    <w:p>
      <w:pPr>
        <w:pStyle w:val="List Paragraph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representar a la sociedad ante toda clase de autoridades civiles, penales, fiscales y del trabajo del orden com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del fuero federal, para presentar demandas, quer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as y reconvenciones, asistir a toda clase de diligencias judiciales o extrajudiciales, presentar pruebas, particular y absolver posiciones, reconocer firmas, interponer toda clase de recursos, promover juicios de amparo, desistirse de los mismos, ratificar querellas, otorgar perd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exigir el pago de la responsabilidad civil y reparaci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n del da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o, constituirse en coadyuvante del Ministerio 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blico y cu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ntos cargos sean procedentes de conformidad con su cargo de gerente; Asimismo se le confieren facultades en materia laboral para articular y absolver posiciones de acuerdo a lo dispuesto en 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876 de la Ley Federal del trabajo, con facultades para administrar las relaciones laborales y conciliar de acuerdo con lo dispuesto en los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culos 11 y 876, fracciones I y VI de la citada ley, as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í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como comparecer en juicio en los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rminos de las fracciones II y III del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692 de la ley de referencia.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CIMO OCTAVO.- Garant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que deben otorgar los administradores:---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El cargo de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es compatible con el de consejero, los gerentes antes de entrar en el desempe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o de sus funciones, deben depositar en la caja de la sociedad cinco acciones, o los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tulos que la representen, para garantizar su manejo, y no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ser retiradas ni grabadas en forma alguna, sino despu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 de que haya sido aprobada su respectiva gesti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n. cuando alguno de los gerentes nombrados no sea accionista el Consejo fijar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la cauci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que previamente deben otorgar, pero en ning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n caso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inferior al valor de las acciones que los socios deben depositar.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CIMO NOVENO.- Vigilancia de la sociedad:---------------------------------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 vigilancia de la sociedad de estar a cargo de un comisario propietario, y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haber tambi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un comisario suplente, qui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entrar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en funciones en las faltas temporales de aquel.----------------------------------------------------------------------------------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Los comisarios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nombrados por la Asamblea General de accionistas, durar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en su cargo un 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o y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ser reelectos, pero continuar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n funcionando v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lidamente mientras no haya otros nombramientos, o estos no se presenten a tomar posesi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 xml:space="preserve">n de sus cargos. ------------------------------------------------------------------------------ 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Regir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para los comisarios en funciones, vigilar que se cumpla de manera correcta lo establecido en los estatutos de esta sociedad. 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comisario en funciones tendr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las facultades y obligaciones que establece 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166 de la Ley General de sociedades mercantiles y los que prevengan estos estatutos y los reglamentos, as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í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como tambi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la retribuci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n que fije la asamblea de accionistas. ----------------------------------------------------------------------------------------------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VIG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SIMO.- De la asamblea General de Accionistas de la sociedad:-----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 Asamblea General de accionistas legalmente instalada, representa la universalidad de las acciones y sus decisiones son obligatorias 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n para los ausentes, disidentes o incapacitados.-------------------------------------------------------------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 asamblea ordinaria de accionistas,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reunirse por lo menos, una vez al 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o despu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s de practicado el balance general y en la fecha en que fije 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o 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n.-------------------------------------------------------------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Las asambleas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ser convocadas por quienes corresponda, de acuerdo con los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culos 168, 183, 184 185 de la Ley General de sociedades mercantiles.---------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 convocatoria para la Asamblea General de accionistas,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contener el orden del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y se publicar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por una sola vez en el sistema electr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de la Secretar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a de econom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a, por lo menos 15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as antes de la fecha de su celebraci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n.--------------------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requisito para la publicaci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la convocatoria, y su misi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no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causa de nulidad de la asamblea, en los siguientes casos: </w:t>
      </w:r>
    </w:p>
    <w:p>
      <w:pPr>
        <w:pStyle w:val="List Paragraph"/>
        <w:numPr>
          <w:ilvl w:val="0"/>
          <w:numId w:val="8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Cuando se re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ne la asamblea como continuaci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otra anterior, siempre que se haya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alado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y hora para continuarla y no se traten 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 asuntos de los especificados en la primera convocatoria.</w:t>
      </w:r>
    </w:p>
    <w:p>
      <w:pPr>
        <w:pStyle w:val="List Paragraph"/>
        <w:numPr>
          <w:ilvl w:val="0"/>
          <w:numId w:val="8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Cuando a una asamblea la representaci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la totalidad de las acciones en que est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dividido el capital social y la lista de asistencia sea firmada por todos los concurrentes.</w:t>
      </w:r>
    </w:p>
    <w:p>
      <w:pPr>
        <w:pStyle w:val="List Paragraph"/>
        <w:numPr>
          <w:ilvl w:val="0"/>
          <w:numId w:val="8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cuando los accionistas tengan conocimiento previo de la celebraci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la asamblea y hayan firmado una copia de la convocatoria, con anotaci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las acciones que cada uno representa.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Para tener el derecho de asistencia a una Asamblea General, los accionistas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n depositar sus acciones en la secretaria de la sociedad, o con 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nico, seg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sea el caso, a 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 tardar la v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spera de la fecha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alada para la celebraci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la asamblea y el certificado qu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expida el secretario o el administrador, servir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de credencial para tomar parte en las deliberaciones y votaciones, los accionistas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n hacerse representar por medio de carta poder simple.-----------------------------------------------------------------------------------------------------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las asambleas generales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n presididas por 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nico, el presidente del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o por el consejero que deba sustituirlo en sus funciones y actuar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como secretario, el del propio Consejo o quien designe la asamblea, 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í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no concurrieren los consejeros. los accionistas presentes designar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a mayor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de votos, presidente y secretario de la asamblea, el presidente nombrar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escrutador a cualquiera de los accionistas presentes, pudiendo recabar dicho nombramiento el propio secretario de la asamblea.-------------------------------------------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Instalada legalmente la asamblea, si no pudiera por falta de tiempo, resolver si todos los asuntos listados en la orden del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a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suspenderse en la sesi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para seguirse en otro u otros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as, sin necesidad de nueva convocatoria.---------------------------------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Para que una asamblea ordinaria se considere legalmente reunida,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estar representada en ella, el 100 por ciento del capital social y las resoluciones deben tomarse por mayor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de votos presentes, si el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a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alado para la reuni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no hubiere quorum, se repetir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 convocatoria, y entonces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de-DE"/>
        </w:rPr>
        <w:t>n v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lidas las determinaciones que se tomen, cualquiera que sea el 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mero de acciones representadas, debiendo consignarse esta advertencia en la convocatoria y sin que sea v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lido tratar distintos de los consignados en la primitiva orden del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a.-------------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 xml:space="preserve">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 o los miembros del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los gerentes y el comisario, cuando sean accionistas, se abstendr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votar en los casos en que la ley as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í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lo previene, cuando sin su voto no hubiera com legal las resoluciones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de-DE"/>
        </w:rPr>
        <w:t>n v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lidas si son aprobadas por la mayor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de las acciones representadas con Facultad de voto, en caso de empate el presidente gozar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del voto de calidad.-------------------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de toda la asamblea se levantar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acta de asamblea respectiva, al que debe agregarse una lista de asistencia suscrita por los concurrentes, las actas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ser autorizadas por lo menos por las firmas de las personas que hayan fungido como presidente y secretario y por el comisario si asistiere.----------------------------------------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 Asamblea General ordinaria que se celebrar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Despu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 de concluido el ejercicio social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ocuparse de:</w:t>
      </w:r>
    </w:p>
    <w:p>
      <w:pPr>
        <w:pStyle w:val="List Paragraph"/>
        <w:numPr>
          <w:ilvl w:val="0"/>
          <w:numId w:val="10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la discusi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aprobaci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y modificaci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del balance, despu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s de o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do el informe del comisario y revisar los documentos comprobatorios.</w:t>
      </w:r>
    </w:p>
    <w:p>
      <w:pPr>
        <w:pStyle w:val="List Paragraph"/>
        <w:numPr>
          <w:ilvl w:val="0"/>
          <w:numId w:val="10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el nombramiento del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nico, del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y dem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 funcionarios.</w:t>
      </w:r>
    </w:p>
    <w:p>
      <w:pPr>
        <w:pStyle w:val="List Paragraph"/>
        <w:numPr>
          <w:ilvl w:val="0"/>
          <w:numId w:val="10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de la determinaci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los emolumentos de dichos funcionarios; y,</w:t>
      </w:r>
    </w:p>
    <w:p>
      <w:pPr>
        <w:pStyle w:val="List Paragraph"/>
        <w:numPr>
          <w:ilvl w:val="0"/>
          <w:numId w:val="10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de la distribuci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n de utilidades.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VIG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SIMO PRIMERO.- De los ejercicios, balances, utilidades y 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rdidas.-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excepci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del primer ejercicio que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ser irregular, todos comenzar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el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a 1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º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de cada 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o y concluir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el 31 de diciembre del mismo a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o. al 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rmino de cada uno, se formular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un balance que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quedar concluido dentro de los 3 meses siguientes, de acuerdo con las bases que a continuaci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se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alan:</w:t>
      </w:r>
    </w:p>
    <w:p>
      <w:pPr>
        <w:pStyle w:val="List Paragraph"/>
        <w:numPr>
          <w:ilvl w:val="0"/>
          <w:numId w:val="1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da-DK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da-DK"/>
        </w:rPr>
        <w:t>se har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constar el capital social.</w:t>
      </w:r>
    </w:p>
    <w:p>
      <w:pPr>
        <w:pStyle w:val="List Paragraph"/>
        <w:numPr>
          <w:ilvl w:val="0"/>
          <w:numId w:val="1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se precisar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 existencia en caja y bancos.</w:t>
      </w:r>
    </w:p>
    <w:p>
      <w:pPr>
        <w:pStyle w:val="List Paragraph"/>
        <w:numPr>
          <w:ilvl w:val="0"/>
          <w:numId w:val="1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se puntualizar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las diversas cuentas que forman el activo y pasivo de la sociedad.</w:t>
      </w:r>
    </w:p>
    <w:p>
      <w:pPr>
        <w:pStyle w:val="List Paragraph"/>
        <w:numPr>
          <w:ilvl w:val="0"/>
          <w:numId w:val="1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se incluir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inventario de bienes de la sociedad, con su valor real, deducci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hecha por el tanto por ciento que fije como dem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rito; y</w:t>
      </w:r>
    </w:p>
    <w:p>
      <w:pPr>
        <w:pStyle w:val="List Paragraph"/>
        <w:numPr>
          <w:ilvl w:val="0"/>
          <w:numId w:val="12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da-DK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da-DK"/>
        </w:rPr>
        <w:t>se har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constar las utilidades y 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rdidas, y en general, los dem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 datos necesarios para demostrar el estado econ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mico de la sociedad.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balance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formulado por 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nico, Presidente del Consejo o uno de los gerentes, y una vez concluido se pasar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al comisario con todos los documentos que les sirven de comprobaci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quien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revisarlos en un plazo que no exceder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de 10 d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as, tan pronto como este lo devuelva,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convocarse a la Asamblea General ordinaria; y entre tanto, quedar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á 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ste documento con sus anexos en la Secretar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 o en las oficinas de la sociedad a la vista de los socios.------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Las utilidades l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quidas de la sociedad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distribuidos en la forma siguiente:</w:t>
      </w:r>
    </w:p>
    <w:p>
      <w:pPr>
        <w:pStyle w:val="List Paragraph"/>
        <w:numPr>
          <w:ilvl w:val="0"/>
          <w:numId w:val="1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Se separar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un 5 por ciento para formar y en su caso reconstruir el fondo de reserva, cuyo monto se fija en la 5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ª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parte del capital social, el que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conservarse en la caja de la sociedad y no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disponerse de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 sino por acuerdo un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nime del Consejo o por el acuerdo del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nico.</w:t>
      </w:r>
    </w:p>
    <w:p>
      <w:pPr>
        <w:pStyle w:val="List Paragraph"/>
        <w:numPr>
          <w:ilvl w:val="0"/>
          <w:numId w:val="1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Se aplicar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tanto por ciento que la asamblea designa para remunerar a los consejeros en funciones YA los dem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 funcionarios que hayan actuado.</w:t>
      </w:r>
    </w:p>
    <w:p>
      <w:pPr>
        <w:pStyle w:val="List Paragraph"/>
        <w:numPr>
          <w:ilvl w:val="0"/>
          <w:numId w:val="1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remanente se distribuir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entre todos los accionistas en porporcion a las acciones suscritas y exhibidas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ntegramente.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Cuando viene p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rdidas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soportadas por las reservas y agotadas estas, por acuerdo de la asamblea general de la sociedad podr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solicitar nuevas aportaciones a los accionistas o invitar nuevos accionistas a la sociedad.--------------------------------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 VIG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SIMO SEGUNDO.- De la disoluci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y liquidaci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n.-----------------------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 sociedad se disolver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por cualquiera de las causas previstas en la Ley General de sociedades mercantiles.--------------------------------------------------------------------------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la asamblea que acuerde o reconozca la disoluci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la sociedad, nombrar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a uno o 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s liquidadores, qui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n se sujetar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a las siguientes bases: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formulaci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del inventario y balance general.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conclusi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los negocios pendientes en la forma 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da-DK"/>
        </w:rPr>
        <w:t>s ben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fica para los acreedores y accionistas.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enajenaci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los bienes de la sociedad o aplicaci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n de ellos a los accionistas, tomando en cuenta en valor nominal de las acciones y el valor que los bienes tengan en el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ltimo inventario.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pago del valor de las acciones, y en su caso, distribuci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n del remanente de ellas en partes proporcionales al valor nominal esas acciones suscritas e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ntegramente exhibidas.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la liquidaci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deber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quedar terminada en un plazo que no exceder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de 6 meses.</w:t>
      </w:r>
    </w:p>
    <w:p>
      <w:pPr>
        <w:pStyle w:val="List Paragraph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mientras dura la liquidaci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n, el comisario seguir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desempe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ando ante los liquidadores las funciones que le competen ante 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nico, consejeros y gerentes.</w:t>
      </w:r>
    </w:p>
    <w:p>
      <w:pPr>
        <w:pStyle w:val="Cuerpo"/>
        <w:spacing w:after="0" w:line="360" w:lineRule="auto"/>
        <w:jc w:val="center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CULOS TRANSITORIOS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Los comparecientes constituidos en Asamblea General de accionistas, acuerdan por unanimidad otorgar los siguientes nombramientos para la direcci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y representaci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de la sociedad: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PRIMERO.- el primer ejercicio social dar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principio cuando est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escritura quede debidamente firmada por todos los socios fundadores.--------------------------------------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SEGUNDO.- la direcci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y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n de la sociedad queda a cargo del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nico, a qui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se le denominar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igualmente administrador general .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—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TERCERO.- el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nico, ser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el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de-DE"/>
        </w:rPr>
        <w:t>or Alan Ren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Santos barrita, a qui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se le designa para tal efecto y despu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 de este momento entra en funciones , con todas las facultades y obligaciones de un apoderado legal, de la sociedad adem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 de las consignadas en el art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>culo VIG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SIMO 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PTIMO De esta escritura constitutiva.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CUARTO.- se designa como comisario al C. ------------------------------------, quien entra en funciones a partir de este momento.----------------------------------------------------------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QUINTO.- los accionistas manifiestan que los funcionarios nombrados est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á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n capacitados para el desempe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o de sus cargos, y no tienen impedimento legal alguno.----------------------------------------------------------------------------------------------------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SEXTO.- el capital suscrito y pagado est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 xml:space="preserve">á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compuesta de la siguiente manera:</w:t>
      </w:r>
    </w:p>
    <w:p>
      <w:pPr>
        <w:pStyle w:val="List Paragraph"/>
        <w:numPr>
          <w:ilvl w:val="0"/>
          <w:numId w:val="16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El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de-DE"/>
        </w:rPr>
        <w:t>or Alan Ren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Santos Barrita, le corresponde el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8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0 por ciento del capital. consistente en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40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 acciones con valor nominal de $ 1,000.00 cada una.</w:t>
      </w:r>
    </w:p>
    <w:p>
      <w:pPr>
        <w:pStyle w:val="List Paragraph"/>
        <w:numPr>
          <w:ilvl w:val="0"/>
          <w:numId w:val="16"/>
        </w:numPr>
        <w:bidi w:val="0"/>
        <w:spacing w:after="0" w:line="360" w:lineRule="auto"/>
        <w:ind w:right="0"/>
        <w:jc w:val="both"/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La se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it-IT"/>
        </w:rPr>
        <w:t>orita Sandra Lizette Sampedro Ram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í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rez, le corresponde el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2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0 por ciento del capital. consistente en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10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 acciones con valor nominal de $ 1,000.00 cada una.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Por lo tanto el capital social se conforma De aportaciones en efectivo por un importe de $50,000.00 (cincuenta mil pesos 00/100 moneda nacional)</w:t>
      </w:r>
    </w:p>
    <w:p>
      <w:pPr>
        <w:pStyle w:val="Cuerpo"/>
        <w:spacing w:after="0" w:line="360" w:lineRule="auto"/>
        <w:jc w:val="both"/>
        <w:rPr>
          <w:rStyle w:val="Ninguno"/>
          <w:rFonts w:ascii="Arial Nova" w:cs="Arial Nova" w:hAnsi="Arial Nova" w:eastAsia="Arial Nova"/>
          <w:sz w:val="24"/>
          <w:szCs w:val="24"/>
        </w:rPr>
      </w:pP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 xml:space="preserve">PTIMO.-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En caso de que los socios realicen alguna actividad dentro de la empresa esto se les asignara un salario por su trabajo, mismo que se determinan por el Consejo de administraci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pt-PT"/>
        </w:rPr>
        <w:t xml:space="preserve">n Administrador 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</w:rPr>
        <w:t>ú</w:t>
      </w:r>
      <w:r>
        <w:rPr>
          <w:rStyle w:val="Ninguno"/>
          <w:rFonts w:ascii="Arial Nova" w:cs="Arial Nova" w:hAnsi="Arial Nova" w:eastAsia="Arial Nova"/>
          <w:sz w:val="24"/>
          <w:szCs w:val="24"/>
          <w:rtl w:val="0"/>
          <w:lang w:val="en-US"/>
        </w:rPr>
        <w:t>nico.-----------------------------------------------</w:t>
      </w:r>
    </w:p>
    <w:p>
      <w:pPr>
        <w:pStyle w:val="Cuerpo"/>
        <w:spacing w:after="0" w:line="360" w:lineRule="auto"/>
        <w:jc w:val="both"/>
        <w:rPr>
          <w:rFonts w:ascii="Arial Nova" w:cs="Arial Nova" w:hAnsi="Arial Nova" w:eastAsia="Arial Nova"/>
          <w:sz w:val="24"/>
          <w:szCs w:val="24"/>
        </w:rPr>
      </w:pPr>
    </w:p>
    <w:p>
      <w:pPr>
        <w:pStyle w:val="Cuerpo"/>
        <w:spacing w:after="0" w:line="360" w:lineRule="auto"/>
        <w:jc w:val="both"/>
        <w:rPr>
          <w:rFonts w:ascii="Arial Nova" w:cs="Arial Nova" w:hAnsi="Arial Nova" w:eastAsia="Arial Nova"/>
          <w:sz w:val="24"/>
          <w:szCs w:val="24"/>
          <w:lang w:val="es-ES_tradnl"/>
        </w:rPr>
      </w:pPr>
    </w:p>
    <w:p>
      <w:pPr>
        <w:pStyle w:val="Cuerpo"/>
        <w:spacing w:after="0" w:line="360" w:lineRule="auto"/>
        <w:jc w:val="both"/>
      </w:pPr>
      <w:r>
        <w:rPr>
          <w:rFonts w:ascii="Arial Nova" w:cs="Arial Nova" w:hAnsi="Arial Nova" w:eastAsia="Arial Nova"/>
          <w:sz w:val="24"/>
          <w:szCs w:val="24"/>
          <w:lang w:val="es-ES_tradnl"/>
        </w:rPr>
      </w:r>
    </w:p>
    <w:sectPr>
      <w:headerReference w:type="default" r:id="rId4"/>
      <w:footerReference w:type="default" r:id="rId5"/>
      <w:pgSz w:w="12240" w:h="2016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Nov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upperRoman"/>
      <w:suff w:val="tab"/>
      <w:lvlText w:val="%1."/>
      <w:lvlJc w:val="left"/>
      <w:pPr>
        <w:ind w:left="720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upperRoman"/>
      <w:suff w:val="tab"/>
      <w:lvlText w:val="%1."/>
      <w:lvlJc w:val="left"/>
      <w:pPr>
        <w:ind w:left="781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5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1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1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1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4"/>
  </w:abstractNum>
  <w:abstractNum w:abstractNumId="7">
    <w:multiLevelType w:val="hybridMultilevel"/>
    <w:styleLink w:val="Estilo importado 4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Estilo importado 5"/>
  </w:abstractNum>
  <w:abstractNum w:abstractNumId="9">
    <w:multiLevelType w:val="hybridMultilevel"/>
    <w:styleLink w:val="Estilo importado 5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Estilo importado 6"/>
  </w:abstractNum>
  <w:abstractNum w:abstractNumId="11">
    <w:multiLevelType w:val="hybridMultilevel"/>
    <w:styleLink w:val="Estilo importado 6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Estilo importado 7"/>
  </w:abstractNum>
  <w:abstractNum w:abstractNumId="13">
    <w:multiLevelType w:val="hybridMultilevel"/>
    <w:styleLink w:val="Estilo importado 7"/>
    <w:lvl w:ilvl="0">
      <w:start w:val="1"/>
      <w:numFmt w:val="upperRoman"/>
      <w:suff w:val="tab"/>
      <w:lvlText w:val="%1."/>
      <w:lvlJc w:val="left"/>
      <w:pPr>
        <w:ind w:left="14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Estilo importado 8"/>
  </w:abstractNum>
  <w:abstractNum w:abstractNumId="15">
    <w:multiLevelType w:val="hybridMultilevel"/>
    <w:styleLink w:val="Estilo importado 8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numbering" w:styleId="Estilo importado 3">
    <w:name w:val="Estilo importado 3"/>
    <w:pPr>
      <w:numPr>
        <w:numId w:val="5"/>
      </w:numPr>
    </w:pPr>
  </w:style>
  <w:style w:type="numbering" w:styleId="Estilo importado 4">
    <w:name w:val="Estilo importado 4"/>
    <w:pPr>
      <w:numPr>
        <w:numId w:val="7"/>
      </w:numPr>
    </w:pPr>
  </w:style>
  <w:style w:type="numbering" w:styleId="Estilo importado 5">
    <w:name w:val="Estilo importado 5"/>
    <w:pPr>
      <w:numPr>
        <w:numId w:val="9"/>
      </w:numPr>
    </w:pPr>
  </w:style>
  <w:style w:type="numbering" w:styleId="Estilo importado 6">
    <w:name w:val="Estilo importado 6"/>
    <w:pPr>
      <w:numPr>
        <w:numId w:val="11"/>
      </w:numPr>
    </w:pPr>
  </w:style>
  <w:style w:type="numbering" w:styleId="Estilo importado 7">
    <w:name w:val="Estilo importado 7"/>
    <w:pPr>
      <w:numPr>
        <w:numId w:val="13"/>
      </w:numPr>
    </w:pPr>
  </w:style>
  <w:style w:type="numbering" w:styleId="Estilo importado 8">
    <w:name w:val="Estilo importado 8"/>
    <w:pPr>
      <w:numPr>
        <w:numId w:val="1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